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61</w:t>
      </w:r>
    </w:p>
    <w:p>
      <w:r>
        <w:t>Bundesgericht (BGE), 1976-05-25, DE</w:t>
      </w:r>
    </w:p>
    <w:p>
      <w:r>
        <w:rPr>
          <w:b/>
        </w:rPr>
        <w:t xml:space="preserve">Quelle: </w:t>
      </w:r>
      <w:r>
        <w:t>https://mcp.opencaselaw.ch/entscheid/bge_102 III 61</w:t>
      </w:r>
    </w:p>
    <w:p>
      <w:r>
        <w:t>FR: ATF 102 III 61</w:t>
      </w:r>
    </w:p>
    <w:p>
      <w:r>
        <w:t>IT: DTF 102 III 61</w:t>
      </w:r>
    </w:p>
    <w:p>
      <w:pPr>
        <w:pStyle w:val="Heading2"/>
      </w:pPr>
      <w:r>
        <w:t>Regeste</w:t>
      </w:r>
    </w:p>
    <w:p>
      <w:r>
        <w:t>Regeste Art. 8 SchKG Das Recht auf Erstellung eines Auszugs aus den Betreibungsprotokollen geht grundsätzlich ebenso weit wie das Einsichtsrecht. In den Auszug sind daher auch die Namen der Gläubiger, die Forderungssummen und der Stand der Verfahren aufzunehmen, wenn der Gesuchsteller es verlangt.</w:t>
      </w:r>
    </w:p>
    <w:p>
      <w:pPr>
        <w:pStyle w:val="Heading2"/>
      </w:pPr>
      <w:r>
        <w:t>Volltext</w:t>
      </w:r>
    </w:p>
    <w:p>
      <w:r>
        <w:t>Urteilskopf 102 III 61 11. Auszug aus dem Entscheid vom 25. Mai 1976 i.S. H. Regeste Art. 8 SchKG Das Recht auf Erstellung eines Auszugs aus den Betreibungsprotokollen geht grundsätzlich ebenso weit wie das Einsichtsrecht. In den Auszug sind daher auch die Namen der Gläubiger, die Forderungssummen und der Stand der Verfahren aufzunehmen, wenn der Gesuchsteller es verlangt. Sachverhalt ab Seite 61 BGE 102 III 61 S. 61 Aus dem Tatbestand: H. verlangte beim Betreibungsamt Olten-Gösgen einen detaillierten Auszug aus dem Betreibungsregister der Genossenschaft X., unter genauer Angabe von Namen und Adressen der Gläubiger, der Forderungssummen und dem Stand allfälliger Betreibungen. Das Betreibungsamt gab dem Gesuch statt, weigerte sich aber, Namen und Adressen der Gläubiger bekanntzugeben. Die Schuldbetreibungs- und Konkurskammer weist das Betreibungsamt an, dem Gesuchsteller die verlangten Auskünfte zu erteilen. Erwägungen Die Schuldbetreibungs- und Konkurskammer zieht in Erwägung: Gemäss Art. 8 Abs. 2 SchKG kann jedermann, der ein Interesse nachweist, die von den Betreibungs- und Konkursämtern geführten Protokolle einsehen und sich Auszüge aus BGE 102 III 61 S. 62 ihnen geben lassen. Dass der Rekurrent als Vertragspartner der Schuldnerin ein Interesse an der Einsichtnahme in die Protokolle hat (vgl. hiezu zusammenfassend BGE 99 III 44 ), ist unbestritten; fraglich ist allein, wie weit das Einsichtsrecht und der Anspruch auf Auszüge gehen. Grundsätzlich macht das Gesetz zwischen den beiden Arten der Auskunfterteilung keinen Unterschied. Das Recht auf Erstellung eines Auszuges geht somit in der Regel ebenso weit wie das Einsichtsrecht. Grenzen wären allenfalls dort zu ziehen, wo die Erstellung eines Auszuges dem Betreibungsamt einen unzumutbaren Arbeitsaufwand verursacht, so dass ihm das Recht zuzugestehen wäre, den Gesuchsteller auf die persönliche Einsichtnahme zu verweisen. Das steht indessen im vorliegenden Fall, wo nur über sechs Betreibungen zu berichten ist, nicht zur Diskussion. Bei der Einsichtnahme kann nun aber der Interessent alle im Protokoll enthaltenen Angaben, auch die Namen der Gläubiger, die Forderungssummen und den Stand der Verfahren, zur Kenntnis nehmen. Alle diese Angaben haben an der Öffentlichkeit des Protokolls teil. Sie sind daher auch in den Protokollauszug aufzunehmen, wenn dies verlangt wird. Die von JOOS, Handbuch für die Betreibungsbeamten der Schweiz, S. 206, geteilte, abweichende Auffassung der bernischen Aufsichtsbehörde (BlSchK 1947 S. 6) lässt sich nicht halten. Ob allenfalls dann eine Einschränkung zu machen wäre, wenn der Gesuchsteller offensichtlich kein Interesse an den einzelnen Angaben hat, mag offen bleiben. Das vom Rekurrenten namhaft gemachte Interesse (Kontaktnahme mit andern Gläubigern zur Abklärung der Frage, ob die Voraussetzungen von Art. 190 SchKG gegeben seien) ist nämlich entgegen der Ansicht der Vorinstanz durchaus schutzwürdig.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